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346" w:rsidRDefault="00CB2346" w:rsidP="00CB2346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08380" cy="984885"/>
            <wp:effectExtent l="19050" t="0" r="127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346" w:rsidRDefault="00CB2346" w:rsidP="00CB2346">
      <w:pPr>
        <w:pStyle w:val="Standard"/>
        <w:jc w:val="center"/>
        <w:rPr>
          <w:rFonts w:ascii="Garamond" w:hAnsi="Garamond" w:cs="Times New Roman"/>
          <w:b/>
          <w:sz w:val="22"/>
          <w:szCs w:val="22"/>
        </w:rPr>
      </w:pPr>
      <w:r>
        <w:rPr>
          <w:rFonts w:ascii="Garamond" w:hAnsi="Garamond" w:cs="Times New Roman"/>
          <w:b/>
          <w:sz w:val="22"/>
          <w:szCs w:val="22"/>
        </w:rPr>
        <w:t>Comune di Ribera</w:t>
      </w:r>
    </w:p>
    <w:p w:rsidR="00CB2346" w:rsidRDefault="00CB2346" w:rsidP="00CB2346">
      <w:pPr>
        <w:pStyle w:val="Standard"/>
        <w:jc w:val="center"/>
        <w:rPr>
          <w:rFonts w:ascii="Garamond" w:hAnsi="Garamond" w:cs="Times New Roman"/>
          <w:b/>
          <w:bCs/>
          <w:sz w:val="22"/>
          <w:szCs w:val="22"/>
        </w:rPr>
      </w:pPr>
      <w:r>
        <w:rPr>
          <w:rFonts w:ascii="Garamond" w:hAnsi="Garamond" w:cs="Times New Roman"/>
          <w:b/>
          <w:sz w:val="22"/>
          <w:szCs w:val="22"/>
        </w:rPr>
        <w:t>Libero Consorzio Comunale di Agrigento</w:t>
      </w:r>
    </w:p>
    <w:p w:rsidR="00CB2346" w:rsidRDefault="00CB2346" w:rsidP="00CB2346">
      <w:pPr>
        <w:spacing w:after="120" w:line="276" w:lineRule="auto"/>
        <w:jc w:val="both"/>
      </w:pPr>
    </w:p>
    <w:p w:rsidR="00CB2346" w:rsidRDefault="00CB2346" w:rsidP="00CB2346">
      <w:pPr>
        <w:spacing w:before="120" w:after="160"/>
        <w:jc w:val="center"/>
      </w:pPr>
      <w:r>
        <w:rPr>
          <w:b/>
          <w:bCs/>
          <w:sz w:val="26"/>
          <w:szCs w:val="26"/>
        </w:rPr>
        <w:t>MODELLO M2 – PROPOSTA TECNICA</w:t>
      </w:r>
    </w:p>
    <w:p w:rsidR="00CB2346" w:rsidRDefault="00CB2346" w:rsidP="00CB2346">
      <w:pPr>
        <w:spacing w:before="120" w:after="120"/>
        <w:jc w:val="center"/>
      </w:pPr>
      <w:r>
        <w:rPr>
          <w:b/>
          <w:bCs/>
        </w:rPr>
        <w:t>Avviso pubblico di co-progettazione SAI DM/DS – Comune di Ribera – 24 posti</w:t>
      </w:r>
    </w:p>
    <w:p w:rsidR="00CB2346" w:rsidRDefault="00CB2346" w:rsidP="00CB2346">
      <w:pPr>
        <w:spacing w:after="120" w:line="276" w:lineRule="auto"/>
        <w:jc w:val="both"/>
      </w:pPr>
      <w:r>
        <w:t xml:space="preserve">Il modello riproduce il format della domanda ministeriale DM/DS (sezioni 1-4), così che la proposta selezionata possa essere trasposta sulla piattaforma </w:t>
      </w:r>
      <w:proofErr w:type="spellStart"/>
      <w:r>
        <w:t>FNAsilo</w:t>
      </w:r>
      <w:proofErr w:type="spellEnd"/>
      <w:r>
        <w:t xml:space="preserve"> dopo il tavolo. Il partecipante compila tutti i campi vuoti. Le parti in corsivo sono compilate dal Comune e non sono modificabili; nelle sezioni 4.4 e 4.5 il partecipante aggiunge il proprio contributo dopo la dicitura “Integrazione del partecipante”. La sezione 5 e la sezione 6 servono solo alla valutazione comunale. Non inserire dati personali di beneficiari reali.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Partecipante (e componenti)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Referente della proposta, telefono, PEC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200" w:after="80"/>
      </w:pPr>
      <w:r>
        <w:rPr>
          <w:b/>
          <w:bCs/>
        </w:rPr>
        <w:t>1 – Dati riepilogativi della proposta progettuale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Ente locale proponente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Comune di Ribera (AG), in forma singola</w:t>
            </w: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1.1 Tipologia di accoglienza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Accoglienza in favore di persone disabili e/o con disagio mentale o psicologico e/o con necessità di assistenza sanitaria, sociale e domiciliare, specialistica e/o prolungata (tipologia DM/DS)</w:t>
            </w: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1.2 Numero dei posti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24</w:t>
            </w:r>
          </w:p>
        </w:tc>
      </w:tr>
    </w:tbl>
    <w:p w:rsidR="00CB2346" w:rsidRDefault="00CB2346" w:rsidP="00CB2346">
      <w:pPr>
        <w:spacing w:after="60"/>
      </w:pP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2"/>
        <w:gridCol w:w="3856"/>
      </w:tblGrid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1.3 Tipologia di destinatari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Numero di posti</w:t>
            </w:r>
          </w:p>
        </w:tc>
      </w:tr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Persone singole di sesso maschile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Persone singole di sesso femminile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Nuclei familiari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Nuclei familiari monoparentali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</w:tr>
    </w:tbl>
    <w:p w:rsidR="00CB2346" w:rsidRDefault="00CB2346" w:rsidP="00CB2346">
      <w:pPr>
        <w:spacing w:after="60"/>
      </w:pP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2"/>
        <w:gridCol w:w="3856"/>
      </w:tblGrid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1.4 Tipologia di presa in carico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Numero di posti</w:t>
            </w:r>
          </w:p>
        </w:tc>
      </w:tr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Persone con necessità di assistenza sanitaria, sociale e domiciliare, specialistica e/o prolungata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24</w:t>
            </w:r>
          </w:p>
        </w:tc>
      </w:tr>
      <w:tr w:rsidR="00CB2346" w:rsidTr="00CB2346">
        <w:trPr>
          <w:tblHeader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Destinatari prioritari: persone con disabilità fisica o motoria e persone con patologie che richiedono assistenza sanitaria, sociale e domiciliare, specialistica o prolungata; non sono previsti posti dedicati al disagio mentale grave che richieda presa in carico psichiatrica specialistica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1.5 Rete territoriale dei servizi socio-sanitari (es. DSM, SERD, servizi per la disabilità e la riabilitazione, assistenza protesica, area materno-infantile, specialistica ambulatoriale e ospedaliera, pronto soccorso, assistenza domiciliare) e risultati attesi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1.6 Costo totale annuale del progetto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euro 780.078,00</w:t>
            </w:r>
            <w:r>
              <w:rPr>
                <w:sz w:val="20"/>
                <w:szCs w:val="20"/>
              </w:rPr>
              <w:t xml:space="preserve"> (comprensivo della quota comunale di euro 53.800,00)</w:t>
            </w: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1.7 Costo giornaliero a persona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euro 89,05</w:t>
            </w: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200" w:after="80"/>
      </w:pPr>
      <w:r>
        <w:rPr>
          <w:b/>
          <w:bCs/>
        </w:rPr>
        <w:t>2 – Servizi garantiti</w:t>
      </w:r>
    </w:p>
    <w:p w:rsidR="00CB2346" w:rsidRDefault="00CB2346" w:rsidP="00CB2346">
      <w:pPr>
        <w:spacing w:after="120" w:line="276" w:lineRule="auto"/>
        <w:jc w:val="both"/>
      </w:pPr>
      <w:r>
        <w:t>Per ciascun servizio descrivere modalità operative, specificità rispetto alle vulnerabilità dei beneficiari e strategie di presa in carico personalizzata.</w:t>
      </w:r>
    </w:p>
    <w:p w:rsidR="00CB2346" w:rsidRDefault="00CB2346" w:rsidP="00CB2346">
      <w:pPr>
        <w:spacing w:after="120" w:line="276" w:lineRule="auto"/>
        <w:jc w:val="both"/>
      </w:pPr>
      <w:r>
        <w:t>Il costo annuale di ciascun servizio comprende la quota del personale comunale ad esso dedicata: l’assistente sociale in servizio al servizio 2.10 (euro 8.300,00), l’assistente sociale a tempo determinato ai servizi 2.7 e 2.8 in parti uguali (euro 17.600,00), l’istruttore al servizio 2.4 (euro 4.800,00), l’operatore ai servizi 2.4 e 2.8 (euro 2.900,00). La somma dei costi dei servizi e dei costi indicati nelle sezioni 4.7 e 4.8 corrisponde ai costi diretti del piano finanziario (macrovoci A-E); i costi indiretti (voce F) non sono attribuiti ai singoli servizi.</w:t>
      </w: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2.1 – Accoglienza materiale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alloggio dignitoso, accessibile e adeguato alle fragilità; vitto, dotazioni personali e sostegno alla vita quotidiana.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2.2 – Mediazione linguistico-culturale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comprensione, comunicazione e partecipazione informata, anche nei percorsi sanitari.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lastRenderedPageBreak/>
        <w:t>2.3 – Insegnamento della lingua italiana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almeno 15 ore settimanali con modalità adeguate alle condizioni delle persone.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2.4 – Orientamento e accesso ai servizi del territorio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accesso effettivo ad anagrafe, sanità, servizi sociali e istruzione.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2.5 – Formazione e riqualificazione professionale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opportunità formative compatibili con capacità e condizioni, nei limiti delle spese ammissibili FAMI.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2.6 – Orientamento e accompagnamento all’inserimento lavorativo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percorsi realistici di autonomia lavorativa.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2.7 – Orientamento e accompagnamento all’inserimento abitativo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soluzioni abitative sostenibili coordinate con i sostegni necessari.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lastRenderedPageBreak/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2.8 – Orientamento e accompagnamento all’inserimento sociale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partecipazione, relazioni e autonomia sociale.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2.9 – Orientamento e accompagnamento legale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informazione qualificata e accompagnamento nei procedimenti.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 xml:space="preserve">2.10 – Tutela </w:t>
      </w:r>
      <w:proofErr w:type="spellStart"/>
      <w:r>
        <w:rPr>
          <w:b/>
          <w:bCs/>
          <w:i/>
          <w:iCs/>
        </w:rPr>
        <w:t>psico</w:t>
      </w:r>
      <w:proofErr w:type="spellEnd"/>
      <w:r>
        <w:rPr>
          <w:b/>
          <w:bCs/>
          <w:i/>
          <w:iCs/>
        </w:rPr>
        <w:t>-socio-sanitaria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individuazione dei bisogni, orientamento e accompagnamento ai servizi, continuità degli interventi. Standard minimo: piano individualizzato socio-sanitario (PEIS) entro 30 giorni dall’ingresso, schede di monitoraggio dell’aderenza terapeutica e farmacologica con verifica trimestrale, accompagnamento alle visite specialistiche. È facoltativo allegare i modelli di PEIS e di scheda di monitoraggio proposti.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200" w:after="80"/>
      </w:pPr>
      <w:r>
        <w:rPr>
          <w:b/>
          <w:bCs/>
        </w:rPr>
        <w:t>2.A – Attività e servizi specifici</w:t>
      </w: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2.A.1 – Protocolli, accordi o collaborazioni con l’ASL e i servizi specialistici territoriali (équipe integrate, procedure di raccordo, segnalazione e monitoraggio)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raccordo strutturato con ASP, Distretto e servizi specialistici. Il Comune ha richiesto all’ASP di Agrigento la definizione di un protocollo operativo; il partecipante indica gli accordi già disponibili e quelli da acquisire e può allegare una bozza di accordo operativo con l’ASP da sottoscrivere congiuntamente con il Comune.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lastRenderedPageBreak/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2.A.2 – Protocolli, accordi o altre forme di collaborazione con il Dipartimento di Salute Mentale (DSM) dell’ASL territorialmente competente, finalizzati alla segnalazione, valutazione e inserimento dei beneficiari in strutture residenziali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Indicazione del Comune: in coerenza con gli indirizzi del Comune il progetto non prevede posti dedicati al disagio mentale. Il partecipante descrive le modalità di segnalazione al Centro di salute mentale competente e di accesso al servizio psichiatrico ospedaliero per i bisogni che emergano durante l’accoglienza, la gestione delle urgenze attraverso i servizi dell’ASP e la segnalazione al Servizio centrale per il trasferimento ai sensi dell’art. 41 delle Linee guida; resta ferma la tutela psicologica per tutti gli accolti.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120" w:after="60"/>
      </w:pPr>
      <w:r>
        <w:rPr>
          <w:b/>
          <w:bCs/>
          <w:i/>
          <w:iCs/>
        </w:rPr>
        <w:t>2.A.3 – Programmi di supporto, cura e riabilitazione concordati con la struttura sanitaria per beneficiari disabili o con assistenza prolungata</w:t>
      </w:r>
    </w:p>
    <w:p w:rsidR="00CB2346" w:rsidRDefault="00CB2346" w:rsidP="00CB2346">
      <w:pPr>
        <w:spacing w:after="120" w:line="276" w:lineRule="auto"/>
        <w:jc w:val="both"/>
      </w:pPr>
      <w:r>
        <w:rPr>
          <w:i/>
          <w:iCs/>
        </w:rPr>
        <w:t>Obiettivo pubblico (Allegato A):</w:t>
      </w:r>
      <w:r>
        <w:t xml:space="preserve"> programmi concordati e continuativi di riabilitazione e fisioterapia, fornitura di ausili e assistenza protesica, assistenza domiciliare integrata.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Modalità di erogazione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Risultati attesi e indicatori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Costo annuale del servizio (euro)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Voci di budget come da PFP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200" w:after="80"/>
      </w:pPr>
      <w:r>
        <w:rPr>
          <w:b/>
          <w:bCs/>
        </w:rPr>
        <w:t>3 – Rete territoriale di riferimento</w:t>
      </w:r>
    </w:p>
    <w:p w:rsidR="00CB2346" w:rsidRDefault="00CB2346" w:rsidP="00CB2346">
      <w:pPr>
        <w:spacing w:after="120" w:line="276" w:lineRule="auto"/>
        <w:jc w:val="both"/>
      </w:pPr>
      <w:r>
        <w:t>Indicare anche servizi specifici (TSMREE, centri per sopravvissuti a tortura e violenza estrema, cooperative di tipo B, CPIA, CPI, Prefettura, Questura, associazioni).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1"/>
        <w:gridCol w:w="3373"/>
        <w:gridCol w:w="3374"/>
      </w:tblGrid>
      <w:tr w:rsidR="00CB2346" w:rsidTr="00CB2346">
        <w:trPr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Ente o ufficio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Attività o servizio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Modalità di collaborazione (indicare se formalizzata e allegare)</w:t>
            </w:r>
          </w:p>
        </w:tc>
      </w:tr>
      <w:tr w:rsidR="00CB2346" w:rsidTr="00CB2346">
        <w:trPr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Comune di Ribera – Servizi sociali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Presa in carico sociale, assistenti sociali in équipe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Partecipazione diretta al progetto</w:t>
            </w:r>
          </w:p>
        </w:tc>
      </w:tr>
      <w:tr w:rsidR="00CB2346" w:rsidTr="00CB2346">
        <w:trPr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Comune di Ribera – Ufficio anagrafe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Iscrizione anagrafica e residenza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Raccordo tramite il personale comunale del progetto</w:t>
            </w:r>
          </w:p>
        </w:tc>
      </w:tr>
      <w:tr w:rsidR="00CB2346" w:rsidTr="00CB2346">
        <w:trPr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lastRenderedPageBreak/>
              <w:t>Complementarietà con altri progetti e interventi del territorio e contestualizzazione nel welfare locale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200" w:after="80"/>
      </w:pPr>
      <w:r>
        <w:rPr>
          <w:b/>
          <w:bCs/>
        </w:rPr>
        <w:t>4 – Organizzazione, gestione, monitoraggio e controllo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4.1 Numero totale del personale imputato alle voci A del PFP (comprensivo dei 4 dipendenti comunali dell’équipe; il RUP è imputato alla voce F)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spacing w:after="120" w:line="276" w:lineRule="auto"/>
        <w:jc w:val="both"/>
      </w:pPr>
      <w:r>
        <w:rPr>
          <w:b/>
          <w:bCs/>
        </w:rPr>
        <w:t>4.2 – Équipe multidisciplinare.</w:t>
      </w:r>
      <w:r>
        <w:t xml:space="preserve"> Le righe del personale comunale sono predisposte dal Comune; il partecipante aggiunge le proprie. Per ciascun operatore indicare nome (o “da individuare”), ente, fascia, ore settimanali e mensili, qualifica o abilitazione, ruolo, costo annuale e voce PFP.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4"/>
        <w:gridCol w:w="1165"/>
        <w:gridCol w:w="899"/>
        <w:gridCol w:w="1118"/>
        <w:gridCol w:w="2171"/>
        <w:gridCol w:w="1192"/>
        <w:gridCol w:w="808"/>
        <w:gridCol w:w="761"/>
      </w:tblGrid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Ente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Ore/sett.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Ore/mese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Qualifica e ruolo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Costo annuo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Voce PFP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Fascia</w:t>
            </w: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da individuare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Comune di Ribera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Assistente sociale (in servizio)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8.300,00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A4e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da individuare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Comune di Ribera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Assistente sociale (tempo determinato per la durata del progetto)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17.600,00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A4e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da individuare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Comune di Ribera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Istruttore amministrativo/contabile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4.800,00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A9e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da individuare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Comune di Ribera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Operatore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2.900,00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A9e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spacing w:after="120" w:line="276" w:lineRule="auto"/>
        <w:jc w:val="both"/>
      </w:pPr>
      <w:r>
        <w:t>Il partecipante allega il curriculum del coordinatore di progetto proposto, valutato nei criteri A3 e A4. La composizione dell’équipe indicata nella presente sezione e le sezioni 4.7 e 4.8 sono valutate nei criteri E1 ed E2. Non fanno parte dell’équipe e sono imputati ai costi indiretti F, per complessivi euro 20.200,00 annui, il RUP (euro 8.200,00, 6 ore settimanali), per il costo orario ordinario delle ore dedicate, e i due incarichi esterni di supporto specialistico al RUP (</w:t>
      </w:r>
      <w:proofErr w:type="spellStart"/>
      <w:r>
        <w:t>project</w:t>
      </w:r>
      <w:proofErr w:type="spellEnd"/>
      <w:r>
        <w:t xml:space="preserve"> manager e </w:t>
      </w:r>
      <w:proofErr w:type="spellStart"/>
      <w:r>
        <w:t>rendicontatore</w:t>
      </w:r>
      <w:proofErr w:type="spellEnd"/>
      <w:r>
        <w:t xml:space="preserve"> FAMI, euro 12.000,00).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7"/>
        <w:gridCol w:w="1734"/>
        <w:gridCol w:w="1156"/>
        <w:gridCol w:w="2120"/>
        <w:gridCol w:w="1349"/>
        <w:gridCol w:w="1352"/>
      </w:tblGrid>
      <w:tr w:rsidR="00CB2346" w:rsidTr="00CB2346">
        <w:trPr>
          <w:tblHeader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4.3 Consulenze – Nome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Ente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Ore/anno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Qualifica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Costo annuo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Voce PFP</w:t>
            </w:r>
          </w:p>
        </w:tc>
      </w:tr>
      <w:tr w:rsidR="00CB2346" w:rsidTr="00CB2346">
        <w:trPr>
          <w:tblHeader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4.4 Modalità e procedure di coordinamento dell’ente locale (compreso il raccordo con l’ente attuatore)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>Il Comune coordina il progetto tramite il Gruppo di lavoro SAI e il RUP, che presiede una cabina di regia con il coordinatore del partner, riunita almeno mensilmente nel primo semestre e bimestralmente in seguito, con verbale delle decisioni. Le assistenti sociali comunali partecipano alle riunioni d’équipe e alla definizione dei progetti individualizzati. Il RUP cura i rapporti con il Servizio centrale, la Prefettura, la Questura e l’ASP. Ingressi, uscite e proroghe sono condivisi tra Comune e partner nel rispetto delle disposizioni del Servizio centrale.</w:t>
            </w:r>
            <w:r>
              <w:rPr>
                <w:sz w:val="20"/>
                <w:szCs w:val="20"/>
              </w:rPr>
              <w:t xml:space="preserve"> Integrazione del partecipante: </w:t>
            </w: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4.5 Modalità e procedure di monitoraggio e controllo da parte dell’ente locale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i/>
                <w:iCs/>
                <w:sz w:val="20"/>
                <w:szCs w:val="20"/>
              </w:rPr>
              <w:t xml:space="preserve">Il RUP verifica trimestralmente l’erogazione dei servizi, la presenza del personale, lo stato delle strutture e l’aggiornamento della banca dati, anche con visite senza preavviso. Il partner trasmette report trimestrali di attività e rendiconti semestrali delle spese, che il RUP, con il supporto del </w:t>
            </w:r>
            <w:proofErr w:type="spellStart"/>
            <w:r>
              <w:rPr>
                <w:i/>
                <w:iCs/>
                <w:sz w:val="20"/>
                <w:szCs w:val="20"/>
              </w:rPr>
              <w:t>rendicontatore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FAMI, riconcilia con il PFP prima dell’invio al Ministero. Le criticità sono contestate per iscritto con termine per il rimedio.</w:t>
            </w:r>
            <w:r>
              <w:rPr>
                <w:sz w:val="20"/>
                <w:szCs w:val="20"/>
              </w:rPr>
              <w:t xml:space="preserve"> Integrazione del partecipante: </w:t>
            </w: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4.6 Organizzazione del lavoro e gestione dell’équipe multidisciplinare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4.7 Aggiornamento e formazione del personale (descrizione, costo annuo, voci PFP)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4.8 Supervisione psicologica esterna dell’équipe (descrizione, risultati attesi, costo annuo, voci PFP)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200" w:after="80"/>
      </w:pPr>
      <w:r>
        <w:rPr>
          <w:b/>
          <w:bCs/>
        </w:rPr>
        <w:t>5 – Strutture di accoglienza (per la valutazione comunale)</w:t>
      </w:r>
    </w:p>
    <w:p w:rsidR="00CB2346" w:rsidRDefault="00CB2346" w:rsidP="00CB2346">
      <w:pPr>
        <w:spacing w:after="120" w:line="276" w:lineRule="auto"/>
        <w:jc w:val="both"/>
      </w:pPr>
      <w:r>
        <w:t>Indicare gli alloggi individuati per i 24 posti, con non più di 6 posti ciascuno, oppure descrivere sotto la tabella il piano di reperimento (zone, tempi, canali). La documentazione degli alloggi (titolo, promessa del proprietario, scheda, planimetria) è facoltativa e incide solo sul punteggio del criterio C1. Nella colonna «Dotazioni di accessibilità e note» il partecipante indica, per ciascun alloggio, le dotazioni superiori ai minimi di legge valutate nel criterio C2 (bagno assistito, sistema di telesoccorso, letti articolati e ausili per la mobilità), specificando se sono già presenti o da installare prima dell’avvio; l’impegno è vincolante e diventa obbligo della convenzione.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8"/>
        <w:gridCol w:w="2120"/>
        <w:gridCol w:w="771"/>
        <w:gridCol w:w="2120"/>
        <w:gridCol w:w="2313"/>
        <w:gridCol w:w="1736"/>
      </w:tblGrid>
      <w:tr w:rsidR="00CB2346" w:rsidTr="00CB2346">
        <w:trPr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Indirizzo a Ribera (o zona, se in reperimento)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Posti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Disponibilità: titolo in corso, promessa del proprietario, individuato, da reperire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Dotazioni di accessibilità e note (presenti / da installare prima dell’avvio)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Disponibile dal</w:t>
            </w:r>
          </w:p>
        </w:tc>
      </w:tr>
      <w:tr w:rsidR="00CB2346" w:rsidTr="00CB2346">
        <w:trPr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4"/>
        <w:gridCol w:w="6554"/>
      </w:tblGrid>
      <w:tr w:rsidR="00CB2346" w:rsidTr="00CB2346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sz w:val="20"/>
                <w:szCs w:val="20"/>
              </w:rPr>
              <w:t>Piano di reperimento degli alloggi non ancora individuati (zone, tempi, canali)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keepNext/>
        <w:spacing w:before="200" w:after="80"/>
      </w:pPr>
      <w:r>
        <w:rPr>
          <w:b/>
          <w:bCs/>
        </w:rPr>
        <w:t>6 – Esperienza dell’ente (per la valutazione comunale)</w:t>
      </w:r>
    </w:p>
    <w:p w:rsidR="00CB2346" w:rsidRDefault="00CB2346" w:rsidP="00CB2346">
      <w:pPr>
        <w:spacing w:after="120" w:line="276" w:lineRule="auto"/>
        <w:jc w:val="both"/>
      </w:pPr>
      <w:r>
        <w:t>Indicare, specificando nella prima colonna il criterio di riferimento e, in caso di raggruppamento o consorzio, il componente o la consorziata esecutrice, le esperienze nella gestione di progetti SAI, ex SPRAR o SIPROIMI, di qualunque tipologia (criterio A1) e quelle nella gestione di progetti SAI della tipologia DM/DS o di servizi residenziali, semiresidenziali o domiciliari per persone con disabilità o con patologie che richiedono assistenza sanitaria prolungata (criterio A2). Le esperienze sono valutate per intero, senza detrazioni, secondo le regole di computo dell’art. 10 dell’avviso: i periodi sovrapposti dello stesso ente sono computati una sola volta per ciascun criterio; i progetti SAI della tipologia DM/DS si indicano sia per il criterio A1 sia per il criterio A2; in caso di raggruppamento o consorzio, per ciascun criterio si considera l’esperienza del soggetto che ne possiede la maggiore, senza sommare le esperienze di soggetti diversi. L’esperienza del coordinatore (criteri A3 e A4) risulta dal curriculum.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3"/>
        <w:gridCol w:w="2891"/>
        <w:gridCol w:w="1542"/>
        <w:gridCol w:w="1349"/>
        <w:gridCol w:w="1543"/>
      </w:tblGrid>
      <w:tr w:rsidR="00CB2346" w:rsidTr="00CB2346">
        <w:trPr>
          <w:tblHeader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Criterio (A1 o A2), componente, committente e progetto o servizio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Destinatari, attività e risultati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Periodo (dal–al)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Mesi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Estremi dell’atto di affidamento o convenzione</w:t>
            </w:r>
          </w:p>
        </w:tc>
      </w:tr>
      <w:tr w:rsidR="00CB2346" w:rsidTr="00CB2346">
        <w:trPr>
          <w:tblHeader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  <w:tr w:rsidR="00CB2346" w:rsidTr="00CB2346">
        <w:trPr>
          <w:tblHeader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CB2346" w:rsidRDefault="00CB2346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Totale mesi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CB2346" w:rsidRDefault="00CB2346">
            <w:pPr>
              <w:spacing w:before="30" w:after="30"/>
            </w:pPr>
          </w:p>
        </w:tc>
      </w:tr>
    </w:tbl>
    <w:p w:rsidR="00CB2346" w:rsidRDefault="00CB2346" w:rsidP="00CB2346">
      <w:pPr>
        <w:spacing w:after="60"/>
      </w:pPr>
    </w:p>
    <w:p w:rsidR="00CB2346" w:rsidRDefault="00CB2346" w:rsidP="00CB2346">
      <w:pPr>
        <w:spacing w:after="120" w:line="276" w:lineRule="auto"/>
        <w:jc w:val="both"/>
      </w:pPr>
      <w:r>
        <w:t>Luogo e data ______</w:t>
      </w:r>
    </w:p>
    <w:p w:rsidR="00CB2346" w:rsidRDefault="00CB2346" w:rsidP="00CB2346">
      <w:pPr>
        <w:spacing w:after="60"/>
        <w:jc w:val="right"/>
      </w:pPr>
      <w:r>
        <w:t>Firmato digitalmente dal legale rappresentante (o da tutti i componenti)</w:t>
      </w:r>
    </w:p>
    <w:p w:rsidR="00CB2346" w:rsidRDefault="00CB2346" w:rsidP="00CB2346"/>
    <w:p w:rsidR="002F3976" w:rsidRPr="00CB2346" w:rsidRDefault="002F3976" w:rsidP="00CB2346"/>
    <w:sectPr w:rsidR="002F3976" w:rsidRPr="00CB2346" w:rsidSect="002F397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05321"/>
    <w:multiLevelType w:val="hybridMultilevel"/>
    <w:tmpl w:val="7E6201FA"/>
    <w:lvl w:ilvl="0" w:tplc="482A0338">
      <w:start w:val="1"/>
      <w:numFmt w:val="bullet"/>
      <w:lvlText w:val="●"/>
      <w:lvlJc w:val="left"/>
      <w:pPr>
        <w:ind w:left="720" w:hanging="360"/>
      </w:pPr>
    </w:lvl>
    <w:lvl w:ilvl="1" w:tplc="F1A03EF0">
      <w:start w:val="1"/>
      <w:numFmt w:val="bullet"/>
      <w:lvlText w:val="○"/>
      <w:lvlJc w:val="left"/>
      <w:pPr>
        <w:ind w:left="1440" w:hanging="360"/>
      </w:pPr>
    </w:lvl>
    <w:lvl w:ilvl="2" w:tplc="FC9EBBE2">
      <w:start w:val="1"/>
      <w:numFmt w:val="bullet"/>
      <w:lvlText w:val="■"/>
      <w:lvlJc w:val="left"/>
      <w:pPr>
        <w:ind w:left="2160" w:hanging="360"/>
      </w:pPr>
    </w:lvl>
    <w:lvl w:ilvl="3" w:tplc="72A0078E">
      <w:start w:val="1"/>
      <w:numFmt w:val="bullet"/>
      <w:lvlText w:val="●"/>
      <w:lvlJc w:val="left"/>
      <w:pPr>
        <w:ind w:left="2880" w:hanging="360"/>
      </w:pPr>
    </w:lvl>
    <w:lvl w:ilvl="4" w:tplc="2FAE71F6">
      <w:start w:val="1"/>
      <w:numFmt w:val="bullet"/>
      <w:lvlText w:val="○"/>
      <w:lvlJc w:val="left"/>
      <w:pPr>
        <w:ind w:left="3600" w:hanging="360"/>
      </w:pPr>
    </w:lvl>
    <w:lvl w:ilvl="5" w:tplc="680E6EFA">
      <w:start w:val="1"/>
      <w:numFmt w:val="bullet"/>
      <w:lvlText w:val="■"/>
      <w:lvlJc w:val="left"/>
      <w:pPr>
        <w:ind w:left="4320" w:hanging="360"/>
      </w:pPr>
    </w:lvl>
    <w:lvl w:ilvl="6" w:tplc="09F0B82E">
      <w:start w:val="1"/>
      <w:numFmt w:val="bullet"/>
      <w:lvlText w:val="●"/>
      <w:lvlJc w:val="left"/>
      <w:pPr>
        <w:ind w:left="5040" w:hanging="360"/>
      </w:pPr>
    </w:lvl>
    <w:lvl w:ilvl="7" w:tplc="31700B14">
      <w:start w:val="1"/>
      <w:numFmt w:val="bullet"/>
      <w:lvlText w:val="●"/>
      <w:lvlJc w:val="left"/>
      <w:pPr>
        <w:ind w:left="5760" w:hanging="360"/>
      </w:pPr>
    </w:lvl>
    <w:lvl w:ilvl="8" w:tplc="3CDC0DE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76"/>
    <w:rsid w:val="002F3976"/>
    <w:rsid w:val="00364B94"/>
    <w:rsid w:val="00377844"/>
    <w:rsid w:val="00793E12"/>
    <w:rsid w:val="007F568E"/>
    <w:rsid w:val="009F0CE9"/>
    <w:rsid w:val="00B56504"/>
    <w:rsid w:val="00B717C5"/>
    <w:rsid w:val="00BB5931"/>
    <w:rsid w:val="00CB2346"/>
    <w:rsid w:val="00CC646B"/>
    <w:rsid w:val="00CD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39CE19-13A9-471E-A5A5-03CBFF65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57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2F3976"/>
    <w:rPr>
      <w:sz w:val="56"/>
      <w:szCs w:val="56"/>
    </w:rPr>
  </w:style>
  <w:style w:type="paragraph" w:customStyle="1" w:styleId="Titolo11">
    <w:name w:val="Titolo 11"/>
    <w:qFormat/>
    <w:rsid w:val="002F3976"/>
    <w:rPr>
      <w:color w:val="2E74B5"/>
      <w:sz w:val="32"/>
      <w:szCs w:val="32"/>
    </w:rPr>
  </w:style>
  <w:style w:type="paragraph" w:customStyle="1" w:styleId="Titolo21">
    <w:name w:val="Titolo 21"/>
    <w:qFormat/>
    <w:rsid w:val="002F3976"/>
    <w:rPr>
      <w:color w:val="2E74B5"/>
      <w:sz w:val="26"/>
      <w:szCs w:val="26"/>
    </w:rPr>
  </w:style>
  <w:style w:type="paragraph" w:customStyle="1" w:styleId="Titolo31">
    <w:name w:val="Titolo 31"/>
    <w:qFormat/>
    <w:rsid w:val="002F3976"/>
    <w:rPr>
      <w:color w:val="1F4D78"/>
    </w:rPr>
  </w:style>
  <w:style w:type="paragraph" w:customStyle="1" w:styleId="Titolo41">
    <w:name w:val="Titolo 41"/>
    <w:qFormat/>
    <w:rsid w:val="002F3976"/>
    <w:rPr>
      <w:i/>
      <w:iCs/>
      <w:color w:val="2E74B5"/>
    </w:rPr>
  </w:style>
  <w:style w:type="paragraph" w:customStyle="1" w:styleId="Titolo51">
    <w:name w:val="Titolo 51"/>
    <w:qFormat/>
    <w:rsid w:val="002F3976"/>
    <w:rPr>
      <w:color w:val="2E74B5"/>
    </w:rPr>
  </w:style>
  <w:style w:type="paragraph" w:customStyle="1" w:styleId="Titolo61">
    <w:name w:val="Titolo 61"/>
    <w:qFormat/>
    <w:rsid w:val="002F3976"/>
    <w:rPr>
      <w:color w:val="1F4D78"/>
    </w:rPr>
  </w:style>
  <w:style w:type="paragraph" w:customStyle="1" w:styleId="Enfasigrassetto1">
    <w:name w:val="Enfasi (grassetto)1"/>
    <w:qFormat/>
    <w:rsid w:val="002F3976"/>
    <w:rPr>
      <w:b/>
      <w:bCs/>
    </w:rPr>
  </w:style>
  <w:style w:type="paragraph" w:styleId="Paragrafoelenco">
    <w:name w:val="List Paragraph"/>
    <w:qFormat/>
    <w:rsid w:val="002F3976"/>
  </w:style>
  <w:style w:type="character" w:styleId="Collegamentoipertestuale">
    <w:name w:val="Hyperlink"/>
    <w:uiPriority w:val="99"/>
    <w:unhideWhenUsed/>
    <w:rsid w:val="002F3976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2F3976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2F397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2F3976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2F3976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2F3976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2F3976"/>
    <w:rPr>
      <w:sz w:val="20"/>
      <w:szCs w:val="20"/>
    </w:rPr>
  </w:style>
  <w:style w:type="paragraph" w:customStyle="1" w:styleId="Standard">
    <w:name w:val="Standard"/>
    <w:rsid w:val="00B717C5"/>
    <w:pPr>
      <w:widowControl w:val="0"/>
      <w:suppressAutoHyphens/>
    </w:pPr>
    <w:rPr>
      <w:rFonts w:eastAsia="SimSun" w:cs="Mangal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7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7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1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M2 – Proposta tecnica</vt:lpstr>
    </vt:vector>
  </TitlesOfParts>
  <Company>Leonardo Misuraca</Company>
  <LinksUpToDate>false</LinksUpToDate>
  <CharactersWithSpaces>14371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M2 – Proposta tecnica</dc:title>
  <dc:creator>Leonardo Misuraca</dc:creator>
  <cp:lastModifiedBy>f.vitali@comunediribera.ag.it</cp:lastModifiedBy>
  <cp:revision>2</cp:revision>
  <dcterms:created xsi:type="dcterms:W3CDTF">2026-10-13T16:35:00Z</dcterms:created>
  <dcterms:modified xsi:type="dcterms:W3CDTF">2026-10-13T16:35:00Z</dcterms:modified>
</cp:coreProperties>
</file>